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               $ </w:t>
      </w:r>
      <w:r w:rsidDel="00000000" w:rsidR="00000000" w:rsidRPr="00000000">
        <w:rPr>
          <w:b w:val="1"/>
          <w:u w:val="single"/>
          <w:rtl w:val="0"/>
        </w:rPr>
        <w:t xml:space="preserve">12,268.62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Book Fair (Erin Weafer)                                                           $76.00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Kindergarten Picnic (Erin Weafer)                                           $45.95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Kindergarten Picnic (Tiffiny Beaulieu)                                      $12.96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Art Supplies (DES/Rubano)                                                     $737.56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Grade 2 Field Trip (4 Town Farm)                                           $1,425.00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Kindergarten Field Trip (Chamberlain Farm)                          $950.00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$ 3,247.47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___$ 9,021.15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