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July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               $ 10,238.62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$ 0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Donation                                                                                 $30.00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Boosterthon Sponsors                                                            $1,900.00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$ 1,930.00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___$ 12,168.62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